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2162B" w14:textId="77777777" w:rsidR="003A481C" w:rsidRPr="00083B5E" w:rsidRDefault="003A481C" w:rsidP="003A481C">
      <w:pPr>
        <w:rPr>
          <w:b/>
          <w:bCs/>
        </w:rPr>
      </w:pPr>
      <w:r w:rsidRPr="00083B5E">
        <w:rPr>
          <w:b/>
          <w:bCs/>
        </w:rPr>
        <w:t>ASSOCIATION SPORTIVE DES AVEUGLES DU QUÉBEC</w:t>
      </w:r>
    </w:p>
    <w:p w14:paraId="413929D7" w14:textId="77777777" w:rsidR="003A481C" w:rsidRPr="00083B5E" w:rsidRDefault="003A481C" w:rsidP="003A481C">
      <w:pPr>
        <w:rPr>
          <w:b/>
          <w:bCs/>
        </w:rPr>
      </w:pPr>
      <w:r w:rsidRPr="00083B5E">
        <w:rPr>
          <w:b/>
          <w:bCs/>
        </w:rPr>
        <w:t xml:space="preserve">Comité </w:t>
      </w:r>
      <w:r>
        <w:rPr>
          <w:b/>
          <w:bCs/>
        </w:rPr>
        <w:t xml:space="preserve">des </w:t>
      </w:r>
      <w:r w:rsidRPr="00083B5E">
        <w:rPr>
          <w:b/>
          <w:bCs/>
        </w:rPr>
        <w:t xml:space="preserve">ressources humaines </w:t>
      </w:r>
    </w:p>
    <w:p w14:paraId="4906FC1D" w14:textId="77777777" w:rsidR="003A481C" w:rsidRPr="00083B5E" w:rsidRDefault="003A481C" w:rsidP="003A481C">
      <w:r w:rsidRPr="00083B5E">
        <w:rPr>
          <w:b/>
          <w:bCs/>
        </w:rPr>
        <w:t>Proposition de mandat</w:t>
      </w:r>
    </w:p>
    <w:p w14:paraId="2C02CAAA" w14:textId="77777777" w:rsidR="003A481C" w:rsidRPr="00083B5E" w:rsidRDefault="003A481C" w:rsidP="003A481C">
      <w:r>
        <w:pict w14:anchorId="6E098C98">
          <v:rect id="_x0000_i1025" style="width:0;height:1.5pt" o:hralign="center" o:hrstd="t" o:hr="t" fillcolor="#a0a0a0" stroked="f"/>
        </w:pict>
      </w:r>
    </w:p>
    <w:p w14:paraId="0225A557" w14:textId="77777777" w:rsidR="003A481C" w:rsidRPr="00083B5E" w:rsidRDefault="003A481C" w:rsidP="003A481C">
      <w:pPr>
        <w:rPr>
          <w:b/>
          <w:bCs/>
        </w:rPr>
      </w:pPr>
      <w:r w:rsidRPr="00083B5E">
        <w:rPr>
          <w:b/>
          <w:bCs/>
        </w:rPr>
        <w:t>1. Rôle et objectifs du Comité</w:t>
      </w:r>
    </w:p>
    <w:p w14:paraId="7944BC50" w14:textId="77777777" w:rsidR="003A481C" w:rsidRDefault="003A481C" w:rsidP="003A481C">
      <w:r w:rsidRPr="00083B5E">
        <w:t>Le Comité des ressources humaines (le « Comité ») est institué par le conseil d’administration (le « CA ») de l’Association sportive des aveugles du Québec (ASAQ).</w:t>
      </w:r>
      <w:r w:rsidRPr="00083B5E">
        <w:br/>
      </w:r>
    </w:p>
    <w:p w14:paraId="5CF954BB" w14:textId="77777777" w:rsidR="003A481C" w:rsidRDefault="003A481C" w:rsidP="003A481C"/>
    <w:p w14:paraId="64346AAA" w14:textId="77777777" w:rsidR="003A481C" w:rsidRPr="00FE2409" w:rsidRDefault="003A481C" w:rsidP="003A481C">
      <w:r w:rsidRPr="000E4EB4">
        <w:t xml:space="preserve">Son rôle est d’appuyer le CA dans la </w:t>
      </w:r>
      <w:r w:rsidRPr="000E4EB4">
        <w:rPr>
          <w:b/>
          <w:bCs/>
        </w:rPr>
        <w:t>gouvernance, la planification stratégique et la supervision des pratiques liées à la gestion des ressources humaines</w:t>
      </w:r>
      <w:r w:rsidRPr="000E4EB4">
        <w:t xml:space="preserve"> au sein de l’organisation</w:t>
      </w:r>
      <w:r w:rsidRPr="00D138D0">
        <w:t>, tenant compte des cadres légaux et réglementaires en vigueur et des bonnes pratiques de gouvernance reconnues dans le milieu. Il découle d’une volonté du</w:t>
      </w:r>
      <w:r w:rsidRPr="000E4EB4">
        <w:t xml:space="preserve"> CA de promouvoir un environnement de travail équitable, transparent et respectueux, où chaque membre de l'organisation peut s'épanouir et contribuer pleinement à la mission de l'ASAQ.</w:t>
      </w:r>
    </w:p>
    <w:p w14:paraId="49ECE8B4" w14:textId="77777777" w:rsidR="003A481C" w:rsidRPr="00083B5E" w:rsidRDefault="003A481C" w:rsidP="003A481C"/>
    <w:p w14:paraId="20A81F47" w14:textId="77777777" w:rsidR="003A481C" w:rsidRPr="00083B5E" w:rsidRDefault="003A481C" w:rsidP="003A481C">
      <w:r w:rsidRPr="000E4EB4">
        <w:t xml:space="preserve">Le Comité agit à titre </w:t>
      </w:r>
      <w:r w:rsidRPr="000E4EB4">
        <w:rPr>
          <w:b/>
          <w:bCs/>
        </w:rPr>
        <w:t>consultatif</w:t>
      </w:r>
      <w:r w:rsidRPr="000E4EB4">
        <w:t xml:space="preserve"> et contribue à assurer la cohérence, l’équité et la conformité des politiques et </w:t>
      </w:r>
      <w:r w:rsidRPr="00D138D0">
        <w:t>pratiques en matière de ressources humaines de l’ASAQ.</w:t>
      </w:r>
    </w:p>
    <w:p w14:paraId="6CC4B11F" w14:textId="77777777" w:rsidR="003A481C" w:rsidRPr="00083B5E" w:rsidRDefault="003A481C" w:rsidP="003A481C">
      <w:r>
        <w:pict w14:anchorId="7F638E23">
          <v:rect id="_x0000_i1026" style="width:0;height:1.5pt" o:hralign="center" o:hrstd="t" o:hr="t" fillcolor="#a0a0a0" stroked="f"/>
        </w:pict>
      </w:r>
    </w:p>
    <w:p w14:paraId="50CBD34B" w14:textId="77777777" w:rsidR="003A481C" w:rsidRPr="00083B5E" w:rsidRDefault="003A481C" w:rsidP="003A481C">
      <w:pPr>
        <w:rPr>
          <w:b/>
          <w:bCs/>
        </w:rPr>
      </w:pPr>
      <w:r w:rsidRPr="00083B5E">
        <w:rPr>
          <w:b/>
          <w:bCs/>
        </w:rPr>
        <w:t>2. Composition</w:t>
      </w:r>
    </w:p>
    <w:p w14:paraId="3675C6C7" w14:textId="77777777" w:rsidR="003A481C" w:rsidRPr="000E4EB4" w:rsidRDefault="003A481C" w:rsidP="003A481C">
      <w:r w:rsidRPr="000E4EB4">
        <w:t xml:space="preserve">Le Comité est composé d’au moins </w:t>
      </w:r>
      <w:r w:rsidRPr="000E4EB4">
        <w:rPr>
          <w:b/>
          <w:bCs/>
        </w:rPr>
        <w:t>deux membre du CA</w:t>
      </w:r>
      <w:r w:rsidRPr="000E4EB4">
        <w:t xml:space="preserve">, nommé par </w:t>
      </w:r>
      <w:r w:rsidRPr="00D138D0">
        <w:t>résolution du CA.</w:t>
      </w:r>
    </w:p>
    <w:p w14:paraId="5F5794A9" w14:textId="77777777" w:rsidR="003A481C" w:rsidRDefault="003A481C" w:rsidP="003A481C">
      <w:proofErr w:type="spellStart"/>
      <w:r w:rsidRPr="000E4EB4">
        <w:t>Le·la</w:t>
      </w:r>
      <w:proofErr w:type="spellEnd"/>
      <w:r w:rsidRPr="000E4EB4">
        <w:t xml:space="preserve"> </w:t>
      </w:r>
      <w:proofErr w:type="spellStart"/>
      <w:r w:rsidRPr="000E4EB4">
        <w:rPr>
          <w:b/>
          <w:bCs/>
        </w:rPr>
        <w:t>président·e</w:t>
      </w:r>
      <w:proofErr w:type="spellEnd"/>
      <w:r w:rsidRPr="000E4EB4">
        <w:rPr>
          <w:b/>
          <w:bCs/>
        </w:rPr>
        <w:t xml:space="preserve"> du CA</w:t>
      </w:r>
      <w:r w:rsidRPr="000E4EB4">
        <w:t xml:space="preserve"> peut participer à toutes les </w:t>
      </w:r>
      <w:r w:rsidRPr="00D138D0">
        <w:t>réunions du Comité, qu’il en soit membre ou pas. Le Directeur général participe sur invitation du comité et au bon vouloir de celui-ci.</w:t>
      </w:r>
    </w:p>
    <w:p w14:paraId="3DEF0577" w14:textId="77777777" w:rsidR="003A481C" w:rsidRDefault="003A481C" w:rsidP="003A481C"/>
    <w:p w14:paraId="15B1798E" w14:textId="77777777" w:rsidR="003A481C" w:rsidRPr="00083B5E" w:rsidRDefault="003A481C" w:rsidP="003A481C">
      <w:r w:rsidRPr="00D138D0">
        <w:t xml:space="preserve">Selon les dossiers traités, le Comité peut inviter </w:t>
      </w:r>
      <w:r w:rsidRPr="00D138D0">
        <w:rPr>
          <w:b/>
          <w:bCs/>
        </w:rPr>
        <w:t>toute autre personne dont l’expertise ou le témoignage est jugé pertinent</w:t>
      </w:r>
      <w:r w:rsidRPr="00D138D0">
        <w:t xml:space="preserve"> (ex. consultant, conseiller juridique, représentant</w:t>
      </w:r>
      <w:r w:rsidRPr="00083B5E">
        <w:t xml:space="preserve"> d’employés, etc.).</w:t>
      </w:r>
    </w:p>
    <w:p w14:paraId="5490EF76" w14:textId="77777777" w:rsidR="003A481C" w:rsidRPr="00083B5E" w:rsidRDefault="003A481C" w:rsidP="003A481C">
      <w:r>
        <w:pict w14:anchorId="2950DCB6">
          <v:rect id="_x0000_i1027" style="width:0;height:1.5pt" o:hralign="center" o:hrstd="t" o:hr="t" fillcolor="#a0a0a0" stroked="f"/>
        </w:pict>
      </w:r>
    </w:p>
    <w:p w14:paraId="573F6885" w14:textId="77777777" w:rsidR="003A481C" w:rsidRPr="00083B5E" w:rsidRDefault="003A481C" w:rsidP="003A481C">
      <w:pPr>
        <w:rPr>
          <w:b/>
          <w:bCs/>
        </w:rPr>
      </w:pPr>
      <w:r w:rsidRPr="00083B5E">
        <w:rPr>
          <w:b/>
          <w:bCs/>
        </w:rPr>
        <w:t>3. Mandat et responsabilités</w:t>
      </w:r>
    </w:p>
    <w:p w14:paraId="36998A50" w14:textId="77777777" w:rsidR="003A481C" w:rsidRPr="00083B5E" w:rsidRDefault="003A481C" w:rsidP="003A481C">
      <w:r w:rsidRPr="00083B5E">
        <w:t>Le Comité a pour mandat de :</w:t>
      </w:r>
    </w:p>
    <w:p w14:paraId="3B5BEA4B" w14:textId="77777777" w:rsidR="003A481C" w:rsidRPr="00D138D0" w:rsidRDefault="003A481C" w:rsidP="003A481C">
      <w:pPr>
        <w:numPr>
          <w:ilvl w:val="0"/>
          <w:numId w:val="2"/>
        </w:numPr>
      </w:pPr>
      <w:r w:rsidRPr="00D138D0">
        <w:rPr>
          <w:b/>
          <w:bCs/>
        </w:rPr>
        <w:t xml:space="preserve">Conseiller </w:t>
      </w:r>
      <w:r w:rsidRPr="00D138D0">
        <w:t>le CA sur les politiques en matière de ressources humaines (embauche, rémunération, conditions de travail).</w:t>
      </w:r>
    </w:p>
    <w:p w14:paraId="503800CF" w14:textId="77777777" w:rsidR="003A481C" w:rsidRPr="00D138D0" w:rsidRDefault="003A481C" w:rsidP="003A481C">
      <w:pPr>
        <w:numPr>
          <w:ilvl w:val="0"/>
          <w:numId w:val="2"/>
        </w:numPr>
      </w:pPr>
      <w:r w:rsidRPr="00D138D0">
        <w:rPr>
          <w:b/>
          <w:bCs/>
        </w:rPr>
        <w:lastRenderedPageBreak/>
        <w:t>Soutenir</w:t>
      </w:r>
      <w:r w:rsidRPr="00D138D0">
        <w:t xml:space="preserve"> la Direction générale dans l’élaboration, la mise à jour et l’application des politiques en matière de ressources humaines; et </w:t>
      </w:r>
      <w:r w:rsidRPr="00D138D0">
        <w:rPr>
          <w:b/>
          <w:bCs/>
        </w:rPr>
        <w:t>en recommander l’adoption</w:t>
      </w:r>
      <w:r w:rsidRPr="00D138D0">
        <w:t xml:space="preserve"> au CA ;</w:t>
      </w:r>
    </w:p>
    <w:p w14:paraId="0F83DC92" w14:textId="046736DC" w:rsidR="003A481C" w:rsidRPr="00D138D0" w:rsidRDefault="003A481C" w:rsidP="003A481C">
      <w:pPr>
        <w:numPr>
          <w:ilvl w:val="0"/>
          <w:numId w:val="2"/>
        </w:numPr>
      </w:pPr>
      <w:r>
        <w:rPr>
          <w:b/>
          <w:bCs/>
        </w:rPr>
        <w:t>Mener</w:t>
      </w:r>
      <w:r w:rsidRPr="00D138D0">
        <w:rPr>
          <w:b/>
          <w:bCs/>
        </w:rPr>
        <w:t xml:space="preserve"> l’évaluation annuelle </w:t>
      </w:r>
      <w:r w:rsidRPr="00D138D0">
        <w:t>du rendement du Directeur général et formuler des recommandations au CA à ce sujet;</w:t>
      </w:r>
    </w:p>
    <w:p w14:paraId="50B17892" w14:textId="77777777" w:rsidR="003A481C" w:rsidRPr="00D138D0" w:rsidRDefault="003A481C" w:rsidP="003A481C">
      <w:pPr>
        <w:numPr>
          <w:ilvl w:val="0"/>
          <w:numId w:val="2"/>
        </w:numPr>
        <w:spacing w:line="240" w:lineRule="auto"/>
      </w:pPr>
      <w:r w:rsidRPr="00D138D0">
        <w:rPr>
          <w:b/>
          <w:bCs/>
        </w:rPr>
        <w:t xml:space="preserve">Surveiller et évaluer </w:t>
      </w:r>
      <w:r w:rsidRPr="00D138D0">
        <w:t>périodiquement le climat organisationnel, incluant la satisfaction du personnel, la communication interne et la perception du leadership et en faire rapport au CA.</w:t>
      </w:r>
    </w:p>
    <w:p w14:paraId="436B6755" w14:textId="77777777" w:rsidR="003A481C" w:rsidRPr="00D138D0" w:rsidRDefault="003A481C" w:rsidP="003A481C">
      <w:pPr>
        <w:numPr>
          <w:ilvl w:val="0"/>
          <w:numId w:val="2"/>
        </w:numPr>
      </w:pPr>
      <w:r w:rsidRPr="00D138D0">
        <w:rPr>
          <w:b/>
          <w:bCs/>
        </w:rPr>
        <w:t>Favoriser la conciliation et la résolution proactive des conflits</w:t>
      </w:r>
      <w:r w:rsidRPr="00D138D0">
        <w:t xml:space="preserve"> de travail ou de communication interne, dans le respect de la confidentialité, de l’impartialité et des politiques internes sans se substituer à la direction générale;</w:t>
      </w:r>
    </w:p>
    <w:p w14:paraId="0A68101C" w14:textId="77777777" w:rsidR="003A481C" w:rsidRPr="00D138D0" w:rsidRDefault="003A481C" w:rsidP="003A481C">
      <w:pPr>
        <w:pStyle w:val="Paragraphedeliste"/>
        <w:spacing w:line="240" w:lineRule="auto"/>
      </w:pPr>
      <w:r w:rsidRPr="00D138D0">
        <w:t>Le comité agit en toute confidentialité et peut recommander au CA la mise en place de mesures correctives, formatives ou structurelles.</w:t>
      </w:r>
    </w:p>
    <w:p w14:paraId="553EA8AF" w14:textId="77777777" w:rsidR="003A481C" w:rsidRPr="00D138D0" w:rsidRDefault="003A481C" w:rsidP="003A481C">
      <w:pPr>
        <w:numPr>
          <w:ilvl w:val="0"/>
          <w:numId w:val="2"/>
        </w:numPr>
        <w:rPr>
          <w:b/>
          <w:bCs/>
        </w:rPr>
      </w:pPr>
      <w:r w:rsidRPr="00D138D0">
        <w:rPr>
          <w:b/>
          <w:bCs/>
        </w:rPr>
        <w:t xml:space="preserve">Veiller </w:t>
      </w:r>
      <w:r w:rsidRPr="00D138D0">
        <w:t>à l’intégration des principes d’inclusion et d’accessibilité dans les pratiques en matière de ressources humaines.</w:t>
      </w:r>
    </w:p>
    <w:p w14:paraId="5FDA2959" w14:textId="77777777" w:rsidR="003A481C" w:rsidRPr="00D138D0" w:rsidRDefault="003A481C" w:rsidP="003A481C">
      <w:r>
        <w:pict w14:anchorId="1E2FFFAC">
          <v:rect id="_x0000_i1028" style="width:0;height:1.5pt" o:hralign="center" o:hrstd="t" o:hr="t" fillcolor="#a0a0a0" stroked="f"/>
        </w:pict>
      </w:r>
    </w:p>
    <w:p w14:paraId="4F712B20" w14:textId="77777777" w:rsidR="003A481C" w:rsidRPr="00D138D0" w:rsidRDefault="003A481C" w:rsidP="003A481C">
      <w:pPr>
        <w:rPr>
          <w:b/>
          <w:bCs/>
        </w:rPr>
      </w:pPr>
      <w:r w:rsidRPr="00D138D0">
        <w:rPr>
          <w:b/>
          <w:bCs/>
        </w:rPr>
        <w:t>4. Mode de fonctionnement</w:t>
      </w:r>
    </w:p>
    <w:p w14:paraId="439044C4" w14:textId="77777777" w:rsidR="003A481C" w:rsidRPr="00D138D0" w:rsidRDefault="003A481C" w:rsidP="003A481C">
      <w:r w:rsidRPr="00D138D0">
        <w:t xml:space="preserve">Le Comité se réunit </w:t>
      </w:r>
      <w:r w:rsidRPr="00D138D0">
        <w:rPr>
          <w:b/>
          <w:bCs/>
        </w:rPr>
        <w:t>aussi souvent que nécessaire</w:t>
      </w:r>
      <w:r w:rsidRPr="00D138D0">
        <w:t xml:space="preserve">, et </w:t>
      </w:r>
      <w:r w:rsidRPr="00D138D0">
        <w:rPr>
          <w:b/>
          <w:bCs/>
        </w:rPr>
        <w:t>au minimum deux fois par année</w:t>
      </w:r>
      <w:r w:rsidRPr="00D138D0">
        <w:t>.</w:t>
      </w:r>
    </w:p>
    <w:p w14:paraId="10AADA63" w14:textId="77777777" w:rsidR="003A481C" w:rsidRPr="00D138D0" w:rsidRDefault="003A481C" w:rsidP="003A481C">
      <w:r w:rsidRPr="00D138D0">
        <w:t xml:space="preserve">Les réunions peuvent se tenir </w:t>
      </w:r>
      <w:r w:rsidRPr="00D138D0">
        <w:rPr>
          <w:b/>
          <w:bCs/>
        </w:rPr>
        <w:t>en personne ou par voie électronique</w:t>
      </w:r>
      <w:r w:rsidRPr="00D138D0">
        <w:t>.</w:t>
      </w:r>
    </w:p>
    <w:p w14:paraId="0588D0E0" w14:textId="77777777" w:rsidR="003A481C" w:rsidRPr="00D138D0" w:rsidRDefault="003A481C" w:rsidP="003A481C">
      <w:r w:rsidRPr="00D138D0">
        <w:t>Le Comité détermine ses propres règles internes, notamment :</w:t>
      </w:r>
    </w:p>
    <w:p w14:paraId="6CC1CABC" w14:textId="77777777" w:rsidR="003A481C" w:rsidRPr="00D138D0" w:rsidRDefault="003A481C" w:rsidP="003A481C">
      <w:pPr>
        <w:numPr>
          <w:ilvl w:val="0"/>
          <w:numId w:val="1"/>
        </w:numPr>
      </w:pPr>
      <w:proofErr w:type="gramStart"/>
      <w:r w:rsidRPr="00D138D0">
        <w:t>les</w:t>
      </w:r>
      <w:proofErr w:type="gramEnd"/>
      <w:r w:rsidRPr="00D138D0">
        <w:t xml:space="preserve"> modalités de convocation ;</w:t>
      </w:r>
    </w:p>
    <w:p w14:paraId="618B7253" w14:textId="77777777" w:rsidR="003A481C" w:rsidRPr="00D138D0" w:rsidRDefault="003A481C" w:rsidP="003A481C">
      <w:pPr>
        <w:numPr>
          <w:ilvl w:val="0"/>
          <w:numId w:val="1"/>
        </w:numPr>
      </w:pPr>
      <w:proofErr w:type="gramStart"/>
      <w:r w:rsidRPr="00D138D0">
        <w:t>le</w:t>
      </w:r>
      <w:proofErr w:type="gramEnd"/>
      <w:r w:rsidRPr="00D138D0">
        <w:t xml:space="preserve"> quorum requis ;</w:t>
      </w:r>
    </w:p>
    <w:p w14:paraId="3DADC6E0" w14:textId="77777777" w:rsidR="003A481C" w:rsidRPr="00D138D0" w:rsidRDefault="003A481C" w:rsidP="003A481C">
      <w:pPr>
        <w:numPr>
          <w:ilvl w:val="0"/>
          <w:numId w:val="1"/>
        </w:numPr>
      </w:pPr>
      <w:proofErr w:type="gramStart"/>
      <w:r w:rsidRPr="00D138D0">
        <w:t>le</w:t>
      </w:r>
      <w:proofErr w:type="gramEnd"/>
      <w:r w:rsidRPr="00D138D0">
        <w:t xml:space="preserve"> mode de prise de décision (par consensus ou vote majoritaire).</w:t>
      </w:r>
    </w:p>
    <w:p w14:paraId="4EB3485B" w14:textId="77777777" w:rsidR="003A481C" w:rsidRPr="00D138D0" w:rsidRDefault="003A481C" w:rsidP="003A481C">
      <w:r w:rsidRPr="00D138D0">
        <w:t>Le comité fait périodiquement rapport de ses travaux au CA.</w:t>
      </w:r>
      <w:r>
        <w:pict w14:anchorId="32701CE3">
          <v:rect id="_x0000_i1029" style="width:0;height:1.5pt" o:hralign="center" o:hrstd="t" o:hr="t" fillcolor="#a0a0a0" stroked="f"/>
        </w:pict>
      </w:r>
    </w:p>
    <w:p w14:paraId="4EEBA1C0" w14:textId="77777777" w:rsidR="003A481C" w:rsidRPr="00D138D0" w:rsidRDefault="003A481C" w:rsidP="003A481C">
      <w:pPr>
        <w:rPr>
          <w:b/>
          <w:bCs/>
        </w:rPr>
      </w:pPr>
    </w:p>
    <w:p w14:paraId="40A922A9" w14:textId="77777777" w:rsidR="003A481C" w:rsidRPr="00D138D0" w:rsidRDefault="003A481C" w:rsidP="003A481C">
      <w:pPr>
        <w:rPr>
          <w:b/>
          <w:bCs/>
        </w:rPr>
      </w:pPr>
      <w:r w:rsidRPr="00D138D0">
        <w:rPr>
          <w:b/>
          <w:bCs/>
        </w:rPr>
        <w:t>5. Durée du mandat</w:t>
      </w:r>
    </w:p>
    <w:p w14:paraId="33A3740E" w14:textId="77777777" w:rsidR="003A481C" w:rsidRPr="00D138D0" w:rsidRDefault="003A481C" w:rsidP="003A481C">
      <w:r w:rsidRPr="00D138D0">
        <w:t xml:space="preserve">Les membres du Comité sont nommés </w:t>
      </w:r>
      <w:r w:rsidRPr="00D138D0">
        <w:rPr>
          <w:b/>
          <w:bCs/>
        </w:rPr>
        <w:t>annuellement par le CA</w:t>
      </w:r>
      <w:r w:rsidRPr="00D138D0">
        <w:t>, à la suite de l’Assemblée générale.</w:t>
      </w:r>
    </w:p>
    <w:p w14:paraId="20A7FB94" w14:textId="77777777" w:rsidR="003A481C" w:rsidRPr="00D138D0" w:rsidRDefault="003A481C" w:rsidP="003A481C">
      <w:r w:rsidRPr="00D138D0">
        <w:t>Toute vacances est comblée par résolution du CA.</w:t>
      </w:r>
    </w:p>
    <w:p w14:paraId="676B22F9" w14:textId="77777777" w:rsidR="003A481C" w:rsidRPr="00D138D0" w:rsidRDefault="003A481C" w:rsidP="003A481C">
      <w:r w:rsidRPr="00D138D0">
        <w:t>Le mandat des membres peut être reconduit.</w:t>
      </w:r>
    </w:p>
    <w:p w14:paraId="14298BDE" w14:textId="77777777" w:rsidR="003A481C" w:rsidRPr="00D138D0" w:rsidRDefault="003A481C" w:rsidP="003A481C">
      <w:r>
        <w:pict w14:anchorId="1210FB2C">
          <v:rect id="_x0000_i1030" style="width:0;height:1.5pt" o:hralign="center" o:hrstd="t" o:hr="t" fillcolor="#a0a0a0" stroked="f"/>
        </w:pict>
      </w:r>
    </w:p>
    <w:p w14:paraId="18E77C39" w14:textId="77777777" w:rsidR="003A481C" w:rsidRPr="00D138D0" w:rsidRDefault="003A481C" w:rsidP="003A481C">
      <w:pPr>
        <w:rPr>
          <w:b/>
          <w:bCs/>
        </w:rPr>
      </w:pPr>
      <w:r w:rsidRPr="00D138D0">
        <w:rPr>
          <w:b/>
          <w:bCs/>
        </w:rPr>
        <w:t>6. Présidence</w:t>
      </w:r>
    </w:p>
    <w:p w14:paraId="03954F82" w14:textId="77777777" w:rsidR="003A481C" w:rsidRPr="00D138D0" w:rsidRDefault="003A481C" w:rsidP="003A481C">
      <w:r w:rsidRPr="00D138D0">
        <w:lastRenderedPageBreak/>
        <w:t xml:space="preserve">La présidence du Comité est assurée par le </w:t>
      </w:r>
      <w:r w:rsidRPr="00D138D0">
        <w:rPr>
          <w:b/>
          <w:bCs/>
        </w:rPr>
        <w:t>membre du CA que celui-ci désigne</w:t>
      </w:r>
      <w:r w:rsidRPr="00D138D0">
        <w:t>.</w:t>
      </w:r>
    </w:p>
    <w:p w14:paraId="1217D591" w14:textId="77777777" w:rsidR="003A481C" w:rsidRPr="00D138D0" w:rsidRDefault="003A481C" w:rsidP="003A481C">
      <w:r w:rsidRPr="00D138D0">
        <w:t>Si plusieurs membres siègent au Comité, le CA détermine, après chaque Assemblée générale, qui en assurera la présidence.</w:t>
      </w:r>
    </w:p>
    <w:p w14:paraId="3768DD04" w14:textId="77777777" w:rsidR="003A481C" w:rsidRPr="00D138D0" w:rsidRDefault="003A481C" w:rsidP="003A481C">
      <w:r w:rsidRPr="00D138D0">
        <w:t xml:space="preserve">En cas d’absence, la présidence peut être temporairement assumée par un autre membre du Comité ou par </w:t>
      </w:r>
      <w:proofErr w:type="spellStart"/>
      <w:r w:rsidRPr="00D138D0">
        <w:t>le·la</w:t>
      </w:r>
      <w:proofErr w:type="spellEnd"/>
      <w:r w:rsidRPr="00D138D0">
        <w:t xml:space="preserve"> </w:t>
      </w:r>
      <w:proofErr w:type="spellStart"/>
      <w:r w:rsidRPr="00D138D0">
        <w:t>président·e</w:t>
      </w:r>
      <w:proofErr w:type="spellEnd"/>
      <w:r w:rsidRPr="00D138D0">
        <w:t xml:space="preserve"> du CA.</w:t>
      </w:r>
    </w:p>
    <w:p w14:paraId="4CF3A4EA" w14:textId="77777777" w:rsidR="003A481C" w:rsidRPr="00D138D0" w:rsidRDefault="003A481C" w:rsidP="003A481C">
      <w:r>
        <w:pict w14:anchorId="30807E22">
          <v:rect id="_x0000_i1031" style="width:0;height:1.5pt" o:hralign="center" o:hrstd="t" o:hr="t" fillcolor="#a0a0a0" stroked="f"/>
        </w:pict>
      </w:r>
    </w:p>
    <w:p w14:paraId="3A0A8345" w14:textId="77777777" w:rsidR="003A481C" w:rsidRPr="00D138D0" w:rsidRDefault="003A481C" w:rsidP="003A481C">
      <w:pPr>
        <w:rPr>
          <w:b/>
          <w:bCs/>
        </w:rPr>
      </w:pPr>
      <w:r w:rsidRPr="00D138D0">
        <w:rPr>
          <w:b/>
          <w:bCs/>
        </w:rPr>
        <w:t>7. Rémunération</w:t>
      </w:r>
    </w:p>
    <w:p w14:paraId="405AB4E0" w14:textId="77777777" w:rsidR="003A481C" w:rsidRPr="00D138D0" w:rsidRDefault="003A481C" w:rsidP="003A481C">
      <w:r w:rsidRPr="00D138D0">
        <w:t xml:space="preserve">Les membres du Comité </w:t>
      </w:r>
      <w:r w:rsidRPr="00D138D0">
        <w:rPr>
          <w:b/>
          <w:bCs/>
        </w:rPr>
        <w:t>ne reçoivent pas de rémunération</w:t>
      </w:r>
      <w:r w:rsidRPr="00D138D0">
        <w:t xml:space="preserve"> pour leur participation au comité.</w:t>
      </w:r>
    </w:p>
    <w:p w14:paraId="72D9C1CD" w14:textId="77777777" w:rsidR="003A481C" w:rsidRPr="00D138D0" w:rsidRDefault="003A481C" w:rsidP="003A481C">
      <w:r w:rsidRPr="00D138D0">
        <w:t xml:space="preserve">Le </w:t>
      </w:r>
      <w:r w:rsidRPr="00D138D0">
        <w:rPr>
          <w:b/>
          <w:bCs/>
        </w:rPr>
        <w:t>Directeur général</w:t>
      </w:r>
      <w:r w:rsidRPr="00D138D0">
        <w:t>, en tant que cadre de l’organisation, demeure rémunéré dans le cadre de ses fonctions régulières.</w:t>
      </w:r>
    </w:p>
    <w:p w14:paraId="26ECB9CE" w14:textId="77777777" w:rsidR="003A481C" w:rsidRPr="00083B5E" w:rsidRDefault="003A481C" w:rsidP="003A481C">
      <w:r>
        <w:pict w14:anchorId="4C73AC34">
          <v:rect id="_x0000_i1032" style="width:0;height:1.5pt" o:hralign="center" o:hrstd="t" o:hr="t" fillcolor="#a0a0a0" stroked="f"/>
        </w:pict>
      </w:r>
    </w:p>
    <w:p w14:paraId="16C617DB" w14:textId="77777777" w:rsidR="00FF22CD" w:rsidRDefault="00FF22CD"/>
    <w:sectPr w:rsidR="00FF22C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D422D"/>
    <w:multiLevelType w:val="multilevel"/>
    <w:tmpl w:val="02F0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150E9"/>
    <w:multiLevelType w:val="multilevel"/>
    <w:tmpl w:val="5DD89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7435348">
    <w:abstractNumId w:val="0"/>
  </w:num>
  <w:num w:numId="2" w16cid:durableId="231165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1C"/>
    <w:rsid w:val="00085236"/>
    <w:rsid w:val="0027057F"/>
    <w:rsid w:val="003A481C"/>
    <w:rsid w:val="00680349"/>
    <w:rsid w:val="00975424"/>
    <w:rsid w:val="009956A0"/>
    <w:rsid w:val="00DA2222"/>
    <w:rsid w:val="00FF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C1601"/>
  <w15:chartTrackingRefBased/>
  <w15:docId w15:val="{8633C9B2-E468-4AD3-A52A-64BDF47A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81C"/>
  </w:style>
  <w:style w:type="paragraph" w:styleId="Titre1">
    <w:name w:val="heading 1"/>
    <w:basedOn w:val="Normal"/>
    <w:next w:val="Normal"/>
    <w:link w:val="Titre1Car"/>
    <w:uiPriority w:val="9"/>
    <w:qFormat/>
    <w:rsid w:val="003A4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4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48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4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48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4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4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4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4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48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A48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A48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A481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A481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A481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A481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A481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A481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A4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4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4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A4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A4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A48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A481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A481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4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481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A48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595</Words>
  <Characters>3213</Characters>
  <Application>Microsoft Office Word</Application>
  <DocSecurity>0</DocSecurity>
  <Lines>229</Lines>
  <Paragraphs>105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Touzin</dc:creator>
  <cp:keywords/>
  <dc:description/>
  <cp:lastModifiedBy>Pierre Touzin</cp:lastModifiedBy>
  <cp:revision>1</cp:revision>
  <dcterms:created xsi:type="dcterms:W3CDTF">2026-02-11T00:19:00Z</dcterms:created>
  <dcterms:modified xsi:type="dcterms:W3CDTF">2026-02-11T00:22:00Z</dcterms:modified>
</cp:coreProperties>
</file>