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16A3" w14:textId="77777777" w:rsidR="00C84C8E" w:rsidRPr="00C84C8E" w:rsidRDefault="00C84C8E" w:rsidP="00C84C8E">
      <w:pPr>
        <w:rPr>
          <w:b/>
          <w:bCs/>
        </w:rPr>
      </w:pPr>
      <w:r w:rsidRPr="00C84C8E">
        <w:rPr>
          <w:b/>
          <w:bCs/>
        </w:rPr>
        <w:t>TIGM 2024 MOGT</w:t>
      </w:r>
    </w:p>
    <w:p w14:paraId="5C2A4115" w14:textId="33883079" w:rsidR="00C84C8E" w:rsidRPr="00C84C8E" w:rsidRDefault="00C84C8E" w:rsidP="00C84C8E">
      <w:r w:rsidRPr="00C84C8E">
        <w:drawing>
          <wp:inline distT="0" distB="0" distL="0" distR="0" wp14:anchorId="6D313E46" wp14:editId="78CEE084">
            <wp:extent cx="4762500" cy="762000"/>
            <wp:effectExtent l="0" t="0" r="0" b="0"/>
            <wp:docPr id="1030801317" name="Image 4" descr="Logos de l'ASAQ, de la Ville de Montréal et du Gouvernement du Québe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 de l'ASAQ, de la Ville de Montréal et du Gouvernement du Québec.">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762000"/>
                    </a:xfrm>
                    <a:prstGeom prst="rect">
                      <a:avLst/>
                    </a:prstGeom>
                    <a:noFill/>
                    <a:ln>
                      <a:noFill/>
                    </a:ln>
                  </pic:spPr>
                </pic:pic>
              </a:graphicData>
            </a:graphic>
          </wp:inline>
        </w:drawing>
      </w:r>
    </w:p>
    <w:p w14:paraId="5C0FA29C" w14:textId="77777777" w:rsidR="00C84C8E" w:rsidRPr="00C84C8E" w:rsidRDefault="00C84C8E" w:rsidP="00C84C8E">
      <w:r w:rsidRPr="00C84C8E">
        <w:rPr>
          <w:b/>
          <w:bCs/>
        </w:rPr>
        <w:t>Communiqué de presse  </w:t>
      </w:r>
    </w:p>
    <w:p w14:paraId="5EDE2EA9" w14:textId="77777777" w:rsidR="00C84C8E" w:rsidRPr="00C84C8E" w:rsidRDefault="00C84C8E" w:rsidP="00C84C8E">
      <w:r w:rsidRPr="00C84C8E">
        <w:t xml:space="preserve">Lire le communiqué de presse des résultats de la 22e édition du Tournoi Invitation de </w:t>
      </w:r>
      <w:proofErr w:type="spellStart"/>
      <w:r w:rsidRPr="00C84C8E">
        <w:t>Goalball</w:t>
      </w:r>
      <w:proofErr w:type="spellEnd"/>
      <w:r w:rsidRPr="00C84C8E">
        <w:t xml:space="preserve"> de Montréal </w:t>
      </w:r>
      <w:hyperlink r:id="rId6" w:history="1">
        <w:r w:rsidRPr="00C84C8E">
          <w:rPr>
            <w:rStyle w:val="Lienhypertexte"/>
          </w:rPr>
          <w:t>sur le site Internet!</w:t>
        </w:r>
      </w:hyperlink>
    </w:p>
    <w:p w14:paraId="0CB0EA21" w14:textId="77777777" w:rsidR="00C84C8E" w:rsidRPr="00C84C8E" w:rsidRDefault="00C84C8E" w:rsidP="00C84C8E">
      <w:r w:rsidRPr="00C84C8E">
        <w:t>Lire le communiqué des résultats de l’événement en Word </w:t>
      </w:r>
      <w:hyperlink r:id="rId7" w:history="1">
        <w:r w:rsidRPr="00C84C8E">
          <w:rPr>
            <w:rStyle w:val="Lienhypertexte"/>
          </w:rPr>
          <w:t>en Word</w:t>
        </w:r>
      </w:hyperlink>
      <w:r w:rsidRPr="00C84C8E">
        <w:t> / </w:t>
      </w:r>
      <w:hyperlink r:id="rId8" w:history="1">
        <w:r w:rsidRPr="00C84C8E">
          <w:rPr>
            <w:rStyle w:val="Lienhypertexte"/>
          </w:rPr>
          <w:t>en PDF.</w:t>
        </w:r>
      </w:hyperlink>
    </w:p>
    <w:p w14:paraId="7A12BA91" w14:textId="77777777" w:rsidR="00C84C8E" w:rsidRPr="00C84C8E" w:rsidRDefault="00C84C8E" w:rsidP="00C84C8E">
      <w:pPr>
        <w:rPr>
          <w:b/>
          <w:bCs/>
        </w:rPr>
      </w:pPr>
      <w:r w:rsidRPr="00C84C8E">
        <w:rPr>
          <w:b/>
          <w:bCs/>
        </w:rPr>
        <w:t>Classement final</w:t>
      </w:r>
    </w:p>
    <w:p w14:paraId="3B8C50ED" w14:textId="77777777" w:rsidR="00C84C8E" w:rsidRPr="00C84C8E" w:rsidRDefault="00C84C8E" w:rsidP="00C84C8E">
      <w:r w:rsidRPr="00C84C8E">
        <w:rPr>
          <w:b/>
          <w:bCs/>
        </w:rPr>
        <w:t> Femmes</w:t>
      </w:r>
      <w:r w:rsidRPr="00C84C8E">
        <w:rPr>
          <w:b/>
          <w:bCs/>
        </w:rPr>
        <w:br/>
      </w:r>
      <w:r w:rsidRPr="00C84C8E">
        <w:t>Or: Ontario C</w:t>
      </w:r>
      <w:r w:rsidRPr="00C84C8E">
        <w:br/>
        <w:t>Argent : Nouvelle-Écosse</w:t>
      </w:r>
      <w:r w:rsidRPr="00C84C8E">
        <w:br/>
        <w:t>Bronze: Alberta</w:t>
      </w:r>
      <w:r w:rsidRPr="00C84C8E">
        <w:br/>
        <w:t>4e: Québec</w:t>
      </w:r>
    </w:p>
    <w:p w14:paraId="11095E81" w14:textId="77777777" w:rsidR="00C84C8E" w:rsidRPr="00C84C8E" w:rsidRDefault="00C84C8E" w:rsidP="00C84C8E">
      <w:r w:rsidRPr="00C84C8E">
        <w:rPr>
          <w:b/>
          <w:bCs/>
        </w:rPr>
        <w:t>Hommes</w:t>
      </w:r>
      <w:r w:rsidRPr="00C84C8E">
        <w:rPr>
          <w:b/>
          <w:bCs/>
        </w:rPr>
        <w:br/>
      </w:r>
      <w:r w:rsidRPr="00C84C8E">
        <w:t>Or: Nouvelle-Écosse</w:t>
      </w:r>
      <w:r w:rsidRPr="00C84C8E">
        <w:br/>
        <w:t>Argent: Colombie-Britannique</w:t>
      </w:r>
      <w:r w:rsidRPr="00C84C8E">
        <w:br/>
        <w:t>Bronze: Ontario A</w:t>
      </w:r>
      <w:r w:rsidRPr="00C84C8E">
        <w:br/>
        <w:t>4e: Alberta</w:t>
      </w:r>
      <w:r w:rsidRPr="00C84C8E">
        <w:br/>
        <w:t>5e: Québec</w:t>
      </w:r>
      <w:r w:rsidRPr="00C84C8E">
        <w:br/>
        <w:t>6e: Ontario B</w:t>
      </w:r>
    </w:p>
    <w:p w14:paraId="2F7B3C80" w14:textId="77777777" w:rsidR="00C84C8E" w:rsidRPr="00C84C8E" w:rsidRDefault="00C84C8E" w:rsidP="00C84C8E">
      <w:r w:rsidRPr="00C84C8E">
        <w:rPr>
          <w:b/>
          <w:bCs/>
        </w:rPr>
        <w:t>Les meilleurs marqueurs de la compétition :</w:t>
      </w:r>
      <w:r w:rsidRPr="00C84C8E">
        <w:rPr>
          <w:b/>
          <w:bCs/>
        </w:rPr>
        <w:br/>
      </w:r>
      <w:r w:rsidRPr="00C84C8E">
        <w:t xml:space="preserve">Chez les femmes : Amy </w:t>
      </w:r>
      <w:proofErr w:type="spellStart"/>
      <w:r w:rsidRPr="00C84C8E">
        <w:t>Burk</w:t>
      </w:r>
      <w:proofErr w:type="spellEnd"/>
      <w:r w:rsidRPr="00C84C8E">
        <w:t>, de l’Ontario C avec 33 buts</w:t>
      </w:r>
      <w:r w:rsidRPr="00C84C8E">
        <w:br/>
        <w:t>Chez les hommes : Blair Nesbitt, de l’Alberta avec 32 buts</w:t>
      </w:r>
    </w:p>
    <w:p w14:paraId="25CCD8D6" w14:textId="77777777" w:rsidR="00C84C8E" w:rsidRPr="00C84C8E" w:rsidRDefault="00C84C8E" w:rsidP="00C84C8E">
      <w:r w:rsidRPr="00C84C8E">
        <w:rPr>
          <w:b/>
          <w:bCs/>
        </w:rPr>
        <w:t>Gagnante du prix « Oui Madame » en mémoire de Nancy Morin:</w:t>
      </w:r>
      <w:r w:rsidRPr="00C84C8E">
        <w:rPr>
          <w:b/>
          <w:bCs/>
        </w:rPr>
        <w:br/>
      </w:r>
      <w:r w:rsidRPr="00C84C8E">
        <w:t xml:space="preserve">Marie-Douce </w:t>
      </w:r>
      <w:proofErr w:type="spellStart"/>
      <w:r w:rsidRPr="00C84C8E">
        <w:t>Fugère</w:t>
      </w:r>
      <w:proofErr w:type="spellEnd"/>
      <w:r w:rsidRPr="00C84C8E">
        <w:t>, du Québec</w:t>
      </w:r>
    </w:p>
    <w:p w14:paraId="3EA75785" w14:textId="77777777" w:rsidR="00C84C8E" w:rsidRPr="00C84C8E" w:rsidRDefault="00C84C8E" w:rsidP="00C84C8E">
      <w:r w:rsidRPr="00C84C8E">
        <w:t>La présentation de l’édition 2024 du TIGM fut possible grâce à la participation d’une trentaine de bénévoles et à l’appui financier de nos généreux bailleurs de fonds, partenaires et commanditaires.</w:t>
      </w:r>
    </w:p>
    <w:p w14:paraId="34D551A0" w14:textId="77777777" w:rsidR="00C84C8E" w:rsidRPr="00C84C8E" w:rsidRDefault="00C84C8E" w:rsidP="00C84C8E">
      <w:r w:rsidRPr="00C84C8E">
        <w:rPr>
          <w:b/>
          <w:bCs/>
        </w:rPr>
        <w:t>Commanditaires du TIGM 2024</w:t>
      </w:r>
    </w:p>
    <w:p w14:paraId="76A92576" w14:textId="77777777" w:rsidR="00C84C8E" w:rsidRPr="00C84C8E" w:rsidRDefault="00C84C8E" w:rsidP="00C84C8E">
      <w:r w:rsidRPr="00C84C8E">
        <w:t xml:space="preserve">Nous aimerions souligner le soutien financier ou de services de nos bailleurs de fonds, partenaires et commanditaires: Le ministère de l’Éducation, du Loisir et du Sport, la Ville de Montréal, plus particulièrement l’équipe du Centre récréatif Gadbois, </w:t>
      </w:r>
      <w:proofErr w:type="spellStart"/>
      <w:r w:rsidRPr="00C84C8E">
        <w:t>Medline</w:t>
      </w:r>
      <w:proofErr w:type="spellEnd"/>
      <w:r w:rsidRPr="00C84C8E">
        <w:t>, Lait au chocolat, Hôtel Espresso Montréal Centre-Ville/Downtown, Location Légaré, Pepsi et Protection Incendie Idéal.</w:t>
      </w:r>
    </w:p>
    <w:p w14:paraId="520F24DD" w14:textId="33A54622" w:rsidR="00C84C8E" w:rsidRPr="00C84C8E" w:rsidRDefault="00C84C8E" w:rsidP="00C84C8E">
      <w:pPr>
        <w:rPr>
          <w:b/>
          <w:bCs/>
        </w:rPr>
      </w:pPr>
      <w:r w:rsidRPr="00C84C8E">
        <w:rPr>
          <w:b/>
          <w:bCs/>
        </w:rPr>
        <w:lastRenderedPageBreak/>
        <w:drawing>
          <wp:inline distT="0" distB="0" distL="0" distR="0" wp14:anchorId="152EFF84" wp14:editId="31CD7F9C">
            <wp:extent cx="4762500" cy="3992880"/>
            <wp:effectExtent l="0" t="0" r="0" b="7620"/>
            <wp:docPr id="1085024452" name="Image 3" descr="Titre: Nos remerciements aux partenaires et commanditaires du TIGM. Photo d’un ballon et des lunettes de goalball. Logos de la Ville de Montréal et du gouvernement du Quebec. Medline, Lait au chocolat, l’Hôtel Espresso Montréal Centre-Ville/Downtown, Location Légaré, Pepsi et Protection Incendie Id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tre: Nos remerciements aux partenaires et commanditaires du TIGM. Photo d’un ballon et des lunettes de goalball. Logos de la Ville de Montréal et du gouvernement du Quebec. Medline, Lait au chocolat, l’Hôtel Espresso Montréal Centre-Ville/Downtown, Location Légaré, Pepsi et Protection Incendie Idé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992880"/>
                    </a:xfrm>
                    <a:prstGeom prst="rect">
                      <a:avLst/>
                    </a:prstGeom>
                    <a:noFill/>
                    <a:ln>
                      <a:noFill/>
                    </a:ln>
                  </pic:spPr>
                </pic:pic>
              </a:graphicData>
            </a:graphic>
          </wp:inline>
        </w:drawing>
      </w:r>
    </w:p>
    <w:p w14:paraId="2A061C03" w14:textId="77777777" w:rsidR="00C84C8E" w:rsidRPr="00C84C8E" w:rsidRDefault="00C84C8E" w:rsidP="00C84C8E">
      <w:pPr>
        <w:rPr>
          <w:b/>
          <w:bCs/>
        </w:rPr>
      </w:pPr>
      <w:r w:rsidRPr="00C84C8E">
        <w:rPr>
          <w:b/>
          <w:bCs/>
        </w:rPr>
        <w:t>À propos de la 22e édition</w:t>
      </w:r>
    </w:p>
    <w:p w14:paraId="476D5DE1" w14:textId="77777777" w:rsidR="00C84C8E" w:rsidRPr="00C84C8E" w:rsidRDefault="00C84C8E" w:rsidP="00C84C8E">
      <w:r w:rsidRPr="00C84C8E">
        <w:t xml:space="preserve">L’Association sportive des aveugles du Québec est heureuse d’annoncer la tenue de la 22e édition du Tournoi Invitation de </w:t>
      </w:r>
      <w:proofErr w:type="spellStart"/>
      <w:r w:rsidRPr="00C84C8E">
        <w:t>Goalball</w:t>
      </w:r>
      <w:proofErr w:type="spellEnd"/>
      <w:r w:rsidRPr="00C84C8E">
        <w:t xml:space="preserve"> de Montréal. Cette compétition annuelle se tiendra du 26 au 28 janvier 2024 au Complexe récréatif Gadbois situé au 5485, chemin de la Côte St-Paul, à Montréal.</w:t>
      </w:r>
    </w:p>
    <w:p w14:paraId="49B762D2" w14:textId="77777777" w:rsidR="00C84C8E" w:rsidRPr="00C84C8E" w:rsidRDefault="00C84C8E" w:rsidP="00C84C8E">
      <w:r w:rsidRPr="00C84C8E">
        <w:t>Cette année, six équipes masculines et quatre équipes féminines provenant de l’Alberta, la Colombie-Britannique, l’Ontario, la Nouvelle-Écosse et le Québec participeront au tournoi.</w:t>
      </w:r>
    </w:p>
    <w:p w14:paraId="1B56E337" w14:textId="77777777" w:rsidR="00C84C8E" w:rsidRPr="00C84C8E" w:rsidRDefault="00C84C8E" w:rsidP="00C84C8E">
      <w:r w:rsidRPr="00C84C8E">
        <w:t>Télécharger la composition des équipes en Excel </w:t>
      </w:r>
      <w:hyperlink r:id="rId10" w:history="1">
        <w:r w:rsidRPr="00C84C8E">
          <w:rPr>
            <w:rStyle w:val="Lienhypertexte"/>
          </w:rPr>
          <w:t>Équipes TIGM 2024 MOGT Teams</w:t>
        </w:r>
      </w:hyperlink>
      <w:r w:rsidRPr="00C84C8E">
        <w:br/>
        <w:t>Visualiser en PDF </w:t>
      </w:r>
      <w:hyperlink r:id="rId11" w:history="1">
        <w:r w:rsidRPr="00C84C8E">
          <w:rPr>
            <w:rStyle w:val="Lienhypertexte"/>
          </w:rPr>
          <w:t xml:space="preserve">Équipes Femmes TIGM 2024 – </w:t>
        </w:r>
        <w:proofErr w:type="spellStart"/>
        <w:r w:rsidRPr="00C84C8E">
          <w:rPr>
            <w:rStyle w:val="Lienhypertexte"/>
          </w:rPr>
          <w:t>Women</w:t>
        </w:r>
        <w:proofErr w:type="spellEnd"/>
        <w:r w:rsidRPr="00C84C8E">
          <w:rPr>
            <w:rStyle w:val="Lienhypertexte"/>
          </w:rPr>
          <w:t xml:space="preserve"> MOGT Teams</w:t>
        </w:r>
      </w:hyperlink>
      <w:r w:rsidRPr="00C84C8E">
        <w:t> / </w:t>
      </w:r>
      <w:hyperlink r:id="rId12" w:history="1">
        <w:r w:rsidRPr="00C84C8E">
          <w:rPr>
            <w:rStyle w:val="Lienhypertexte"/>
          </w:rPr>
          <w:t>Équipes Hommes TIGM 2024 – Men MOGT Teams</w:t>
        </w:r>
      </w:hyperlink>
    </w:p>
    <w:p w14:paraId="6F576F0C" w14:textId="77777777" w:rsidR="00C84C8E" w:rsidRPr="00C84C8E" w:rsidRDefault="00C84C8E" w:rsidP="00C84C8E">
      <w:r w:rsidRPr="00C84C8E">
        <w:t xml:space="preserve">L’ASAQ invite les passionnés du sport et le public général à faire un tour au Complexe récréatif Gadbois afin d’encourager les athlètes vivant avec une déficience visuelle. Ce sera aussi une occasion de découvrir le </w:t>
      </w:r>
      <w:proofErr w:type="spellStart"/>
      <w:r w:rsidRPr="00C84C8E">
        <w:t>goalball</w:t>
      </w:r>
      <w:proofErr w:type="spellEnd"/>
      <w:r w:rsidRPr="00C84C8E">
        <w:t>, ce sport unique qui se joue dans le silence le plus complet. L’entrée est gratuite!</w:t>
      </w:r>
    </w:p>
    <w:p w14:paraId="084C16CC" w14:textId="77777777" w:rsidR="00C84C8E" w:rsidRPr="00C84C8E" w:rsidRDefault="00C84C8E" w:rsidP="00C84C8E">
      <w:r w:rsidRPr="00C84C8E">
        <w:rPr>
          <w:b/>
          <w:bCs/>
        </w:rPr>
        <w:t>Horaire du TIGM 2024 / 2024 MOGT Schedule</w:t>
      </w:r>
    </w:p>
    <w:p w14:paraId="6A135843" w14:textId="77777777" w:rsidR="00C84C8E" w:rsidRPr="00C84C8E" w:rsidRDefault="00C84C8E" w:rsidP="00C84C8E">
      <w:r w:rsidRPr="00C84C8E">
        <w:t>L’horaire des parties est disponible en </w:t>
      </w:r>
      <w:hyperlink r:id="rId13" w:history="1">
        <w:r w:rsidRPr="00C84C8E">
          <w:rPr>
            <w:rStyle w:val="Lienhypertexte"/>
          </w:rPr>
          <w:t>Excel ICI</w:t>
        </w:r>
      </w:hyperlink>
      <w:r w:rsidRPr="00C84C8E">
        <w:t xml:space="preserve"> / Games </w:t>
      </w:r>
      <w:proofErr w:type="spellStart"/>
      <w:r w:rsidRPr="00C84C8E">
        <w:t>schedule</w:t>
      </w:r>
      <w:proofErr w:type="spellEnd"/>
      <w:r w:rsidRPr="00C84C8E">
        <w:t xml:space="preserve"> are </w:t>
      </w:r>
      <w:proofErr w:type="spellStart"/>
      <w:r w:rsidRPr="00C84C8E">
        <w:t>available</w:t>
      </w:r>
      <w:proofErr w:type="spellEnd"/>
      <w:r w:rsidRPr="00C84C8E">
        <w:t xml:space="preserve"> in </w:t>
      </w:r>
      <w:hyperlink r:id="rId14" w:history="1">
        <w:r w:rsidRPr="00C84C8E">
          <w:rPr>
            <w:rStyle w:val="Lienhypertexte"/>
          </w:rPr>
          <w:t>Excel HERE</w:t>
        </w:r>
      </w:hyperlink>
      <w:r w:rsidRPr="00C84C8E">
        <w:br/>
        <w:t>L’horaire des parties est disponible en </w:t>
      </w:r>
      <w:hyperlink r:id="rId15" w:history="1">
        <w:r w:rsidRPr="00C84C8E">
          <w:rPr>
            <w:rStyle w:val="Lienhypertexte"/>
          </w:rPr>
          <w:t>PDF ICI</w:t>
        </w:r>
      </w:hyperlink>
      <w:r w:rsidRPr="00C84C8E">
        <w:t xml:space="preserve"> / Games </w:t>
      </w:r>
      <w:proofErr w:type="spellStart"/>
      <w:r w:rsidRPr="00C84C8E">
        <w:t>schedule</w:t>
      </w:r>
      <w:proofErr w:type="spellEnd"/>
      <w:r w:rsidRPr="00C84C8E">
        <w:t xml:space="preserve"> are </w:t>
      </w:r>
      <w:proofErr w:type="spellStart"/>
      <w:r w:rsidRPr="00C84C8E">
        <w:t>available</w:t>
      </w:r>
      <w:proofErr w:type="spellEnd"/>
      <w:r w:rsidRPr="00C84C8E">
        <w:t xml:space="preserve"> in </w:t>
      </w:r>
      <w:hyperlink r:id="rId16" w:history="1">
        <w:r w:rsidRPr="00C84C8E">
          <w:rPr>
            <w:rStyle w:val="Lienhypertexte"/>
          </w:rPr>
          <w:t>PDF HERE</w:t>
        </w:r>
      </w:hyperlink>
    </w:p>
    <w:p w14:paraId="032DFF79" w14:textId="77777777" w:rsidR="00C84C8E" w:rsidRPr="00C84C8E" w:rsidRDefault="00C84C8E" w:rsidP="00C84C8E">
      <w:r w:rsidRPr="00C84C8E">
        <w:rPr>
          <w:b/>
          <w:bCs/>
        </w:rPr>
        <w:lastRenderedPageBreak/>
        <w:t>Communiqué de presse </w:t>
      </w:r>
    </w:p>
    <w:p w14:paraId="16AE8579" w14:textId="77777777" w:rsidR="00C84C8E" w:rsidRPr="00C84C8E" w:rsidRDefault="00C84C8E" w:rsidP="00C84C8E">
      <w:r w:rsidRPr="00C84C8E">
        <w:t>Lire le communiqué </w:t>
      </w:r>
      <w:hyperlink r:id="rId17" w:history="1">
        <w:r w:rsidRPr="00C84C8E">
          <w:rPr>
            <w:rStyle w:val="Lienhypertexte"/>
          </w:rPr>
          <w:t>sur le site Internet!</w:t>
        </w:r>
      </w:hyperlink>
    </w:p>
    <w:p w14:paraId="4043357F" w14:textId="77777777" w:rsidR="00C84C8E" w:rsidRPr="00C84C8E" w:rsidRDefault="00C84C8E" w:rsidP="00C84C8E">
      <w:r w:rsidRPr="00C84C8E">
        <w:t>Télécharger le </w:t>
      </w:r>
      <w:hyperlink r:id="rId18" w:history="1">
        <w:r w:rsidRPr="00C84C8E">
          <w:rPr>
            <w:rStyle w:val="Lienhypertexte"/>
          </w:rPr>
          <w:t>communiqué de presse en Word</w:t>
        </w:r>
      </w:hyperlink>
      <w:r w:rsidRPr="00C84C8E">
        <w:br/>
        <w:t>Lire le </w:t>
      </w:r>
      <w:hyperlink r:id="rId19" w:history="1">
        <w:r w:rsidRPr="00C84C8E">
          <w:rPr>
            <w:rStyle w:val="Lienhypertexte"/>
          </w:rPr>
          <w:t>communiqué de presse en PDF</w:t>
        </w:r>
      </w:hyperlink>
    </w:p>
    <w:p w14:paraId="25A2B699" w14:textId="77777777" w:rsidR="00DF14F9" w:rsidRDefault="00DF14F9"/>
    <w:sectPr w:rsidR="00DF14F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8E"/>
    <w:rsid w:val="00652EAB"/>
    <w:rsid w:val="006C5309"/>
    <w:rsid w:val="00831A6A"/>
    <w:rsid w:val="00936D34"/>
    <w:rsid w:val="00B76A44"/>
    <w:rsid w:val="00C84C8E"/>
    <w:rsid w:val="00CE7F9E"/>
    <w:rsid w:val="00DF14F9"/>
    <w:rsid w:val="00E964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6A5C"/>
  <w15:chartTrackingRefBased/>
  <w15:docId w15:val="{CAF307D1-244A-4FB5-9BB2-BB169863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4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C8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C8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C8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C8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C8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C8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C8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C8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C8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C8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C8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C8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C8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C8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C8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C8E"/>
    <w:rPr>
      <w:rFonts w:eastAsiaTheme="majorEastAsia" w:cstheme="majorBidi"/>
      <w:color w:val="272727" w:themeColor="text1" w:themeTint="D8"/>
    </w:rPr>
  </w:style>
  <w:style w:type="paragraph" w:styleId="Titre">
    <w:name w:val="Title"/>
    <w:basedOn w:val="Normal"/>
    <w:next w:val="Normal"/>
    <w:link w:val="TitreCar"/>
    <w:uiPriority w:val="10"/>
    <w:qFormat/>
    <w:rsid w:val="00C84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C8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C8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C8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C8E"/>
    <w:pPr>
      <w:spacing w:before="160"/>
      <w:jc w:val="center"/>
    </w:pPr>
    <w:rPr>
      <w:i/>
      <w:iCs/>
      <w:color w:val="404040" w:themeColor="text1" w:themeTint="BF"/>
    </w:rPr>
  </w:style>
  <w:style w:type="character" w:customStyle="1" w:styleId="CitationCar">
    <w:name w:val="Citation Car"/>
    <w:basedOn w:val="Policepardfaut"/>
    <w:link w:val="Citation"/>
    <w:uiPriority w:val="29"/>
    <w:rsid w:val="00C84C8E"/>
    <w:rPr>
      <w:i/>
      <w:iCs/>
      <w:color w:val="404040" w:themeColor="text1" w:themeTint="BF"/>
    </w:rPr>
  </w:style>
  <w:style w:type="paragraph" w:styleId="Paragraphedeliste">
    <w:name w:val="List Paragraph"/>
    <w:basedOn w:val="Normal"/>
    <w:uiPriority w:val="34"/>
    <w:qFormat/>
    <w:rsid w:val="00C84C8E"/>
    <w:pPr>
      <w:ind w:left="720"/>
      <w:contextualSpacing/>
    </w:pPr>
  </w:style>
  <w:style w:type="character" w:styleId="Accentuationintense">
    <w:name w:val="Intense Emphasis"/>
    <w:basedOn w:val="Policepardfaut"/>
    <w:uiPriority w:val="21"/>
    <w:qFormat/>
    <w:rsid w:val="00C84C8E"/>
    <w:rPr>
      <w:i/>
      <w:iCs/>
      <w:color w:val="0F4761" w:themeColor="accent1" w:themeShade="BF"/>
    </w:rPr>
  </w:style>
  <w:style w:type="paragraph" w:styleId="Citationintense">
    <w:name w:val="Intense Quote"/>
    <w:basedOn w:val="Normal"/>
    <w:next w:val="Normal"/>
    <w:link w:val="CitationintenseCar"/>
    <w:uiPriority w:val="30"/>
    <w:qFormat/>
    <w:rsid w:val="00C84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C8E"/>
    <w:rPr>
      <w:i/>
      <w:iCs/>
      <w:color w:val="0F4761" w:themeColor="accent1" w:themeShade="BF"/>
    </w:rPr>
  </w:style>
  <w:style w:type="character" w:styleId="Rfrenceintense">
    <w:name w:val="Intense Reference"/>
    <w:basedOn w:val="Policepardfaut"/>
    <w:uiPriority w:val="32"/>
    <w:qFormat/>
    <w:rsid w:val="00C84C8E"/>
    <w:rPr>
      <w:b/>
      <w:bCs/>
      <w:smallCaps/>
      <w:color w:val="0F4761" w:themeColor="accent1" w:themeShade="BF"/>
      <w:spacing w:val="5"/>
    </w:rPr>
  </w:style>
  <w:style w:type="character" w:styleId="Lienhypertexte">
    <w:name w:val="Hyperlink"/>
    <w:basedOn w:val="Policepardfaut"/>
    <w:uiPriority w:val="99"/>
    <w:unhideWhenUsed/>
    <w:rsid w:val="00C84C8E"/>
    <w:rPr>
      <w:color w:val="467886" w:themeColor="hyperlink"/>
      <w:u w:val="single"/>
    </w:rPr>
  </w:style>
  <w:style w:type="character" w:styleId="Mentionnonrsolue">
    <w:name w:val="Unresolved Mention"/>
    <w:basedOn w:val="Policepardfaut"/>
    <w:uiPriority w:val="99"/>
    <w:semiHidden/>
    <w:unhideWhenUsed/>
    <w:rsid w:val="00C84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292155">
      <w:bodyDiv w:val="1"/>
      <w:marLeft w:val="0"/>
      <w:marRight w:val="0"/>
      <w:marTop w:val="0"/>
      <w:marBottom w:val="0"/>
      <w:divBdr>
        <w:top w:val="none" w:sz="0" w:space="0" w:color="auto"/>
        <w:left w:val="none" w:sz="0" w:space="0" w:color="auto"/>
        <w:bottom w:val="none" w:sz="0" w:space="0" w:color="auto"/>
        <w:right w:val="none" w:sz="0" w:space="0" w:color="auto"/>
      </w:divBdr>
    </w:div>
    <w:div w:id="17865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aveugles.qc.ca/wp-content/uploads/2021/11/COMMUNIQUE-DE-PRESSE-RESULTATS-DU-TIGM-2024.pdf" TargetMode="External"/><Relationship Id="rId13" Type="http://schemas.openxmlformats.org/officeDocument/2006/relationships/hyperlink" Target="https://sportsaveugles.qc.ca/wp-content/uploads/2021/11/horaire-tigm-schedule-mogt-2024-modified.xlsx" TargetMode="External"/><Relationship Id="rId18" Type="http://schemas.openxmlformats.org/officeDocument/2006/relationships/hyperlink" Target="https://sportsaveugles.qc.ca/wp-content/uploads/2021/11/COMMUNIQUE-DE-PRESSE-TIGM-2024.doc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portsaveugles.qc.ca/wp-content/uploads/2021/11/COMMUNIQUE-DE-PRESSE-RESULTATS-DU-TIGM-2024.docx" TargetMode="External"/><Relationship Id="rId12" Type="http://schemas.openxmlformats.org/officeDocument/2006/relationships/hyperlink" Target="https://sportsaveugles.qc.ca/wp-content/uploads/2021/11/Equipes-Hommes-TIGM-2024-Men-MOGT-Teams.pdf" TargetMode="External"/><Relationship Id="rId17" Type="http://schemas.openxmlformats.org/officeDocument/2006/relationships/hyperlink" Target="https://sportsaveugles.qc.ca/22e-edition-du-tournoi-invitation-de-goalball-de-montreal/" TargetMode="External"/><Relationship Id="rId2" Type="http://schemas.openxmlformats.org/officeDocument/2006/relationships/settings" Target="settings.xml"/><Relationship Id="rId16" Type="http://schemas.openxmlformats.org/officeDocument/2006/relationships/hyperlink" Target="https://sportsaveugles.qc.ca/wp-content/uploads/2021/11/horaire-tigm-schedule-mogt-2024-modified.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portsaveugles.qc.ca/resultats-du-tournoi-invitation-de-goalball-de-montreal-2024/" TargetMode="External"/><Relationship Id="rId11" Type="http://schemas.openxmlformats.org/officeDocument/2006/relationships/hyperlink" Target="https://sportsaveugles.qc.ca/wp-content/uploads/2021/11/Equipes-Femmes-TIGM-2024-Women-MOGT-Teams-1.pdf" TargetMode="External"/><Relationship Id="rId5" Type="http://schemas.openxmlformats.org/officeDocument/2006/relationships/image" Target="media/image1.png"/><Relationship Id="rId15" Type="http://schemas.openxmlformats.org/officeDocument/2006/relationships/hyperlink" Target="https://sportsaveugles.qc.ca/wp-content/uploads/2021/11/horaire-tigm-schedule-mogt-2024-modified.pdf" TargetMode="External"/><Relationship Id="rId10" Type="http://schemas.openxmlformats.org/officeDocument/2006/relationships/hyperlink" Target="https://sportsaveugles.qc.ca/wp-content/uploads/2024/01/Equipes-TIGM-2024-MOGT-Teams.xlsx" TargetMode="External"/><Relationship Id="rId19" Type="http://schemas.openxmlformats.org/officeDocument/2006/relationships/hyperlink" Target="https://sportsaveugles.qc.ca/wp-content/uploads/2021/11/COMMUNIQUE-DE-PRESSE-TIGM-2024.pdf" TargetMode="External"/><Relationship Id="rId4" Type="http://schemas.openxmlformats.org/officeDocument/2006/relationships/hyperlink" Target="https://sportsaveugles.qc.ca/wp-content/uploads/2023/01/Logos-de-lASAQ-de-la-Ville-de-Montreal-et-du-Gouvernement-du-Quebec-1.png" TargetMode="External"/><Relationship Id="rId9" Type="http://schemas.openxmlformats.org/officeDocument/2006/relationships/image" Target="media/image2.jpeg"/><Relationship Id="rId14" Type="http://schemas.openxmlformats.org/officeDocument/2006/relationships/hyperlink" Target="https://sportsaveugles.qc.ca/wp-content/uploads/2021/11/horaire-tigm-schedule-mogt-2024-modified.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3498</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Lemieux</dc:creator>
  <cp:keywords/>
  <dc:description/>
  <cp:lastModifiedBy>Marc Lemieux</cp:lastModifiedBy>
  <cp:revision>2</cp:revision>
  <dcterms:created xsi:type="dcterms:W3CDTF">2025-01-29T22:09:00Z</dcterms:created>
  <dcterms:modified xsi:type="dcterms:W3CDTF">2025-01-29T22:09:00Z</dcterms:modified>
</cp:coreProperties>
</file>